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8C" w:rsidRDefault="005B2B8C" w:rsidP="00AD64A0">
      <w:pPr>
        <w:pStyle w:val="Heading2"/>
        <w:spacing w:before="0"/>
        <w:rPr>
          <w:rFonts w:eastAsia="Arial"/>
        </w:rPr>
      </w:pPr>
      <w:r>
        <w:rPr>
          <w:rFonts w:eastAsia="Arial"/>
        </w:rPr>
        <w:t>Hospice Rotation Goals and Objectives</w:t>
      </w:r>
    </w:p>
    <w:p w:rsidR="00793249" w:rsidRDefault="005B2B8C" w:rsidP="00AD64A0">
      <w:pPr>
        <w:pStyle w:val="Heading3"/>
        <w:rPr>
          <w:rFonts w:eastAsia="Arial"/>
        </w:rPr>
      </w:pPr>
      <w:r>
        <w:rPr>
          <w:rFonts w:eastAsia="Arial"/>
        </w:rPr>
        <w:t xml:space="preserve">Sample </w:t>
      </w:r>
      <w:r w:rsidR="00E65086">
        <w:rPr>
          <w:rFonts w:eastAsia="Arial"/>
        </w:rPr>
        <w:t>C</w:t>
      </w:r>
      <w:r>
        <w:rPr>
          <w:rFonts w:eastAsia="Arial"/>
        </w:rPr>
        <w:t xml:space="preserve">: </w:t>
      </w:r>
      <w:r w:rsidR="00793249">
        <w:rPr>
          <w:rFonts w:eastAsia="Arial"/>
        </w:rPr>
        <w:t>Generic Hospice</w:t>
      </w:r>
    </w:p>
    <w:p w:rsidR="009C7607" w:rsidRDefault="009C7607" w:rsidP="00716E61">
      <w:pPr>
        <w:pStyle w:val="Heading2"/>
        <w:spacing w:before="0"/>
        <w:rPr>
          <w:rFonts w:asciiTheme="majorHAnsi" w:eastAsia="Arial" w:hAnsiTheme="majorHAnsi"/>
          <w:color w:val="auto"/>
          <w:sz w:val="22"/>
          <w:szCs w:val="22"/>
        </w:rPr>
      </w:pPr>
      <w:r>
        <w:rPr>
          <w:rFonts w:asciiTheme="majorHAnsi" w:eastAsia="Arial" w:hAnsiTheme="majorHAnsi"/>
          <w:color w:val="auto"/>
          <w:sz w:val="22"/>
          <w:szCs w:val="22"/>
        </w:rPr>
        <w:t>Description of Rotation</w:t>
      </w:r>
    </w:p>
    <w:p w:rsidR="009C7607" w:rsidRDefault="004A485A" w:rsidP="00716E61">
      <w:pPr>
        <w:pStyle w:val="Heading2"/>
        <w:spacing w:before="0"/>
        <w:rPr>
          <w:rFonts w:asciiTheme="majorHAnsi" w:eastAsia="Arial" w:hAnsiTheme="majorHAnsi"/>
          <w:color w:val="auto"/>
          <w:sz w:val="22"/>
          <w:szCs w:val="22"/>
        </w:rPr>
      </w:pPr>
      <w:r>
        <w:rPr>
          <w:rFonts w:asciiTheme="majorHAnsi" w:eastAsia="Arial" w:hAnsiTheme="majorHAnsi"/>
          <w:color w:val="auto"/>
          <w:sz w:val="22"/>
          <w:szCs w:val="22"/>
        </w:rPr>
        <w:t>Generic Hospice</w:t>
      </w:r>
    </w:p>
    <w:p w:rsidR="004A485A" w:rsidRDefault="004A485A" w:rsidP="00716E61">
      <w:pPr>
        <w:pStyle w:val="Heading2"/>
        <w:spacing w:before="0"/>
        <w:rPr>
          <w:rFonts w:asciiTheme="majorHAnsi" w:eastAsia="Arial" w:hAnsiTheme="majorHAnsi"/>
          <w:color w:val="auto"/>
          <w:sz w:val="22"/>
          <w:szCs w:val="22"/>
        </w:rPr>
      </w:pPr>
    </w:p>
    <w:p w:rsidR="005B2B8C" w:rsidRPr="00793249" w:rsidRDefault="00793249" w:rsidP="00716E61">
      <w:pPr>
        <w:pStyle w:val="Heading2"/>
        <w:spacing w:before="0"/>
        <w:rPr>
          <w:rFonts w:asciiTheme="majorHAnsi" w:eastAsia="Arial" w:hAnsiTheme="majorHAnsi"/>
          <w:color w:val="auto"/>
          <w:sz w:val="22"/>
          <w:szCs w:val="22"/>
        </w:rPr>
      </w:pPr>
      <w:r w:rsidRPr="00793249">
        <w:rPr>
          <w:rFonts w:asciiTheme="majorHAnsi" w:eastAsia="Arial" w:hAnsiTheme="majorHAnsi"/>
          <w:color w:val="auto"/>
          <w:sz w:val="22"/>
          <w:szCs w:val="22"/>
        </w:rPr>
        <w:t>C</w:t>
      </w:r>
      <w:r w:rsidR="00E65086" w:rsidRPr="00793249">
        <w:rPr>
          <w:rFonts w:asciiTheme="majorHAnsi" w:eastAsia="Arial" w:hAnsiTheme="majorHAnsi"/>
          <w:color w:val="auto"/>
          <w:sz w:val="22"/>
          <w:szCs w:val="22"/>
        </w:rPr>
        <w:t>linical Experiences</w:t>
      </w:r>
    </w:p>
    <w:p w:rsidR="00F2333B" w:rsidRPr="00E65086" w:rsidRDefault="00F2333B" w:rsidP="00E65086">
      <w:pPr>
        <w:spacing w:before="280" w:after="280" w:line="276" w:lineRule="auto"/>
        <w:rPr>
          <w:rFonts w:asciiTheme="majorHAnsi" w:hAnsiTheme="majorHAnsi"/>
          <w:sz w:val="22"/>
          <w:szCs w:val="22"/>
        </w:rPr>
      </w:pPr>
      <w:r w:rsidRPr="00E65086">
        <w:rPr>
          <w:rFonts w:asciiTheme="majorHAnsi" w:hAnsiTheme="majorHAnsi"/>
          <w:sz w:val="22"/>
          <w:szCs w:val="22"/>
        </w:rPr>
        <w:t xml:space="preserve">This is a community-based clinical experience. The fellows will have a variety of experiences that include caring for patients at a free-standing inpatient hospice facility, making home visits for home care hospice patients, and visiting a variety of </w:t>
      </w:r>
      <w:r w:rsidR="009E794C">
        <w:rPr>
          <w:rFonts w:asciiTheme="majorHAnsi" w:hAnsiTheme="majorHAnsi"/>
          <w:sz w:val="22"/>
          <w:szCs w:val="22"/>
        </w:rPr>
        <w:t>s</w:t>
      </w:r>
      <w:r w:rsidRPr="00E65086">
        <w:rPr>
          <w:rFonts w:asciiTheme="majorHAnsi" w:hAnsiTheme="majorHAnsi"/>
          <w:sz w:val="22"/>
          <w:szCs w:val="22"/>
        </w:rPr>
        <w:t xml:space="preserve">killed </w:t>
      </w:r>
      <w:r w:rsidR="009E794C">
        <w:rPr>
          <w:rFonts w:asciiTheme="majorHAnsi" w:hAnsiTheme="majorHAnsi"/>
          <w:sz w:val="22"/>
          <w:szCs w:val="22"/>
        </w:rPr>
        <w:t>n</w:t>
      </w:r>
      <w:r w:rsidRPr="00E65086">
        <w:rPr>
          <w:rFonts w:asciiTheme="majorHAnsi" w:hAnsiTheme="majorHAnsi"/>
          <w:sz w:val="22"/>
          <w:szCs w:val="22"/>
        </w:rPr>
        <w:t xml:space="preserve">ursing </w:t>
      </w:r>
      <w:r w:rsidR="009E794C">
        <w:rPr>
          <w:rFonts w:asciiTheme="majorHAnsi" w:hAnsiTheme="majorHAnsi"/>
          <w:sz w:val="22"/>
          <w:szCs w:val="22"/>
        </w:rPr>
        <w:t>f</w:t>
      </w:r>
      <w:r w:rsidRPr="00E65086">
        <w:rPr>
          <w:rFonts w:asciiTheme="majorHAnsi" w:hAnsiTheme="majorHAnsi"/>
          <w:sz w:val="22"/>
          <w:szCs w:val="22"/>
        </w:rPr>
        <w:t>acilities and or</w:t>
      </w:r>
      <w:r w:rsidR="009E794C">
        <w:rPr>
          <w:rFonts w:asciiTheme="majorHAnsi" w:hAnsiTheme="majorHAnsi"/>
          <w:sz w:val="22"/>
          <w:szCs w:val="22"/>
        </w:rPr>
        <w:t xml:space="preserve"> r</w:t>
      </w:r>
      <w:r w:rsidRPr="00E65086">
        <w:rPr>
          <w:rFonts w:asciiTheme="majorHAnsi" w:hAnsiTheme="majorHAnsi"/>
          <w:sz w:val="22"/>
          <w:szCs w:val="22"/>
        </w:rPr>
        <w:t xml:space="preserve">esidential </w:t>
      </w:r>
      <w:r w:rsidR="009E794C">
        <w:rPr>
          <w:rFonts w:asciiTheme="majorHAnsi" w:hAnsiTheme="majorHAnsi"/>
          <w:sz w:val="22"/>
          <w:szCs w:val="22"/>
        </w:rPr>
        <w:t>c</w:t>
      </w:r>
      <w:r w:rsidRPr="00E65086">
        <w:rPr>
          <w:rFonts w:asciiTheme="majorHAnsi" w:hAnsiTheme="majorHAnsi"/>
          <w:sz w:val="22"/>
          <w:szCs w:val="22"/>
        </w:rPr>
        <w:t xml:space="preserve">are </w:t>
      </w:r>
      <w:r w:rsidR="009E794C">
        <w:rPr>
          <w:rFonts w:asciiTheme="majorHAnsi" w:hAnsiTheme="majorHAnsi"/>
          <w:sz w:val="22"/>
          <w:szCs w:val="22"/>
        </w:rPr>
        <w:t>f</w:t>
      </w:r>
      <w:r w:rsidRPr="00E65086">
        <w:rPr>
          <w:rFonts w:asciiTheme="majorHAnsi" w:hAnsiTheme="majorHAnsi"/>
          <w:sz w:val="22"/>
          <w:szCs w:val="22"/>
        </w:rPr>
        <w:t xml:space="preserve">acilities to understand the range and different approaches of hospice care. </w:t>
      </w:r>
    </w:p>
    <w:p w:rsidR="00F2333B" w:rsidRPr="00E65086" w:rsidRDefault="00F2333B" w:rsidP="00E65086">
      <w:pPr>
        <w:spacing w:before="280" w:after="280" w:line="276" w:lineRule="auto"/>
        <w:rPr>
          <w:rFonts w:asciiTheme="majorHAnsi" w:hAnsiTheme="majorHAnsi"/>
          <w:sz w:val="22"/>
          <w:szCs w:val="22"/>
        </w:rPr>
      </w:pPr>
      <w:r w:rsidRPr="00E65086">
        <w:rPr>
          <w:rFonts w:asciiTheme="majorHAnsi" w:hAnsiTheme="majorHAnsi"/>
          <w:sz w:val="22"/>
          <w:szCs w:val="22"/>
        </w:rPr>
        <w:t xml:space="preserve">For the </w:t>
      </w:r>
      <w:r w:rsidR="009E794C">
        <w:rPr>
          <w:rFonts w:asciiTheme="majorHAnsi" w:hAnsiTheme="majorHAnsi"/>
          <w:sz w:val="22"/>
          <w:szCs w:val="22"/>
        </w:rPr>
        <w:t>h</w:t>
      </w:r>
      <w:r w:rsidRPr="00E65086">
        <w:rPr>
          <w:rFonts w:asciiTheme="majorHAnsi" w:hAnsiTheme="majorHAnsi"/>
          <w:sz w:val="22"/>
          <w:szCs w:val="22"/>
        </w:rPr>
        <w:t xml:space="preserve">ome </w:t>
      </w:r>
      <w:r w:rsidR="009E794C">
        <w:rPr>
          <w:rFonts w:asciiTheme="majorHAnsi" w:hAnsiTheme="majorHAnsi"/>
          <w:sz w:val="22"/>
          <w:szCs w:val="22"/>
        </w:rPr>
        <w:t>h</w:t>
      </w:r>
      <w:r w:rsidRPr="00E65086">
        <w:rPr>
          <w:rFonts w:asciiTheme="majorHAnsi" w:hAnsiTheme="majorHAnsi"/>
          <w:sz w:val="22"/>
          <w:szCs w:val="22"/>
        </w:rPr>
        <w:t xml:space="preserve">ospice </w:t>
      </w:r>
      <w:r w:rsidR="00E65086">
        <w:rPr>
          <w:rFonts w:asciiTheme="majorHAnsi" w:hAnsiTheme="majorHAnsi"/>
          <w:sz w:val="22"/>
          <w:szCs w:val="22"/>
        </w:rPr>
        <w:t>e</w:t>
      </w:r>
      <w:r w:rsidRPr="00E65086">
        <w:rPr>
          <w:rFonts w:asciiTheme="majorHAnsi" w:hAnsiTheme="majorHAnsi"/>
          <w:sz w:val="22"/>
          <w:szCs w:val="22"/>
        </w:rPr>
        <w:t xml:space="preserve">xperience, </w:t>
      </w:r>
      <w:r w:rsidR="00E65086">
        <w:rPr>
          <w:rFonts w:asciiTheme="majorHAnsi" w:hAnsiTheme="majorHAnsi"/>
          <w:sz w:val="22"/>
          <w:szCs w:val="22"/>
        </w:rPr>
        <w:t>f</w:t>
      </w:r>
      <w:r w:rsidRPr="00E65086">
        <w:rPr>
          <w:rFonts w:asciiTheme="majorHAnsi" w:hAnsiTheme="majorHAnsi"/>
          <w:sz w:val="22"/>
          <w:szCs w:val="22"/>
        </w:rPr>
        <w:t xml:space="preserve">ellows will function as a full-time team member and see patients on the team as consultant. In addition, for patients who do not have a primary physician, or whose primary physician wishes to transfer responsibility, the fellow will serve as the primary physician. </w:t>
      </w:r>
      <w:r w:rsidR="009E794C">
        <w:rPr>
          <w:rFonts w:asciiTheme="majorHAnsi" w:hAnsiTheme="majorHAnsi"/>
          <w:sz w:val="22"/>
          <w:szCs w:val="22"/>
        </w:rPr>
        <w:t>Three-to-</w:t>
      </w:r>
      <w:r w:rsidR="00E65086">
        <w:rPr>
          <w:rFonts w:asciiTheme="majorHAnsi" w:hAnsiTheme="majorHAnsi"/>
          <w:sz w:val="22"/>
          <w:szCs w:val="22"/>
        </w:rPr>
        <w:t>five</w:t>
      </w:r>
      <w:r w:rsidRPr="00E65086">
        <w:rPr>
          <w:rFonts w:asciiTheme="majorHAnsi" w:hAnsiTheme="majorHAnsi"/>
          <w:sz w:val="22"/>
          <w:szCs w:val="22"/>
        </w:rPr>
        <w:t xml:space="preserve"> home visits per day are expected when the fellow is assigned to home hospice rotation. Fellows will be expected to perform a history and physical on the patients they see including a detailed focused assessment, conduct family meetings, and interface with the primary care providers to ensure any recommendations are communicated. </w:t>
      </w:r>
    </w:p>
    <w:p w:rsidR="00F2333B" w:rsidRPr="00E65086" w:rsidRDefault="00F2333B" w:rsidP="00E65086">
      <w:pPr>
        <w:spacing w:before="280" w:after="280" w:line="276" w:lineRule="auto"/>
        <w:rPr>
          <w:rFonts w:asciiTheme="majorHAnsi" w:hAnsiTheme="majorHAnsi"/>
          <w:sz w:val="22"/>
          <w:szCs w:val="22"/>
        </w:rPr>
      </w:pPr>
      <w:r w:rsidRPr="00E65086">
        <w:rPr>
          <w:rFonts w:asciiTheme="majorHAnsi" w:hAnsiTheme="majorHAnsi"/>
          <w:sz w:val="22"/>
          <w:szCs w:val="22"/>
        </w:rPr>
        <w:t>During other rotations, the fellow will be available by telephone for continuity patients in the same way that other primary physicians are available. Patients will represent a mix of acute problems, consultations, assessments and ongoing care. The fellow is responsible for adequate documentation, communication with team members and attending physicians. The team will first direct medical questions about care to the fellow for the month rather than to the hospice attending. The hospice attending for that team is responsible for supervising the fellow and teaching. It is expected that some visits will be made jointly with the home hospice attending physician and with other team members.</w:t>
      </w:r>
    </w:p>
    <w:p w:rsidR="00F2333B" w:rsidRPr="00E65086" w:rsidRDefault="00F2333B" w:rsidP="00E65086">
      <w:pPr>
        <w:spacing w:before="280" w:after="280" w:line="276" w:lineRule="auto"/>
        <w:rPr>
          <w:rFonts w:asciiTheme="majorHAnsi" w:hAnsiTheme="majorHAnsi"/>
          <w:sz w:val="22"/>
          <w:szCs w:val="22"/>
        </w:rPr>
      </w:pPr>
      <w:r w:rsidRPr="00E65086">
        <w:rPr>
          <w:rFonts w:asciiTheme="majorHAnsi" w:hAnsiTheme="majorHAnsi"/>
          <w:sz w:val="22"/>
          <w:szCs w:val="22"/>
        </w:rPr>
        <w:t xml:space="preserve">During the </w:t>
      </w:r>
      <w:r w:rsidR="009E794C">
        <w:rPr>
          <w:rFonts w:asciiTheme="majorHAnsi" w:hAnsiTheme="majorHAnsi"/>
          <w:sz w:val="22"/>
          <w:szCs w:val="22"/>
        </w:rPr>
        <w:t>l</w:t>
      </w:r>
      <w:r w:rsidRPr="00E65086">
        <w:rPr>
          <w:rFonts w:asciiTheme="majorHAnsi" w:hAnsiTheme="majorHAnsi"/>
          <w:sz w:val="22"/>
          <w:szCs w:val="22"/>
        </w:rPr>
        <w:t>ong</w:t>
      </w:r>
      <w:r w:rsidR="009E794C">
        <w:rPr>
          <w:rFonts w:asciiTheme="majorHAnsi" w:hAnsiTheme="majorHAnsi"/>
          <w:sz w:val="22"/>
          <w:szCs w:val="22"/>
        </w:rPr>
        <w:t>-t</w:t>
      </w:r>
      <w:r w:rsidRPr="00E65086">
        <w:rPr>
          <w:rFonts w:asciiTheme="majorHAnsi" w:hAnsiTheme="majorHAnsi"/>
          <w:sz w:val="22"/>
          <w:szCs w:val="22"/>
        </w:rPr>
        <w:t xml:space="preserve">erm </w:t>
      </w:r>
      <w:r w:rsidR="009E794C">
        <w:rPr>
          <w:rFonts w:asciiTheme="majorHAnsi" w:hAnsiTheme="majorHAnsi"/>
          <w:sz w:val="22"/>
          <w:szCs w:val="22"/>
        </w:rPr>
        <w:t>c</w:t>
      </w:r>
      <w:r w:rsidRPr="00E65086">
        <w:rPr>
          <w:rFonts w:asciiTheme="majorHAnsi" w:hAnsiTheme="majorHAnsi"/>
          <w:sz w:val="22"/>
          <w:szCs w:val="22"/>
        </w:rPr>
        <w:t xml:space="preserve">are </w:t>
      </w:r>
      <w:r w:rsidR="00E65086">
        <w:rPr>
          <w:rFonts w:asciiTheme="majorHAnsi" w:hAnsiTheme="majorHAnsi"/>
          <w:sz w:val="22"/>
          <w:szCs w:val="22"/>
        </w:rPr>
        <w:t>e</w:t>
      </w:r>
      <w:r w:rsidRPr="00E65086">
        <w:rPr>
          <w:rFonts w:asciiTheme="majorHAnsi" w:hAnsiTheme="majorHAnsi"/>
          <w:sz w:val="22"/>
          <w:szCs w:val="22"/>
        </w:rPr>
        <w:t xml:space="preserve">xperience, </w:t>
      </w:r>
      <w:r w:rsidR="00E65086">
        <w:rPr>
          <w:rFonts w:asciiTheme="majorHAnsi" w:hAnsiTheme="majorHAnsi"/>
          <w:sz w:val="22"/>
          <w:szCs w:val="22"/>
        </w:rPr>
        <w:t>t</w:t>
      </w:r>
      <w:r w:rsidRPr="00E65086">
        <w:rPr>
          <w:rFonts w:asciiTheme="majorHAnsi" w:hAnsiTheme="majorHAnsi"/>
          <w:sz w:val="22"/>
          <w:szCs w:val="22"/>
        </w:rPr>
        <w:t xml:space="preserve">he hospice long term care teams provide care in more than many nursing homes, assisted living, and residential care facilities. Patients will represent a mix of acute problems, consultations, assessments and ongoing care. The fellow is responsible for adequate documentation, communication with team members and attending physicians, participating in teaching walk-rounds with the nursing home team members and nursing home staff members and providing an in-service on symptom management and end of life care. The team will first direct medical questions about care to the fellow for the month rather than to the hospice attending. The hospice attending for that team is responsible for supervising the fellow and teaching. An emphasis on learning about nursing homes, their function and culture, and the role of the physician and hospice team in the nursing home will be emphasized. Fellows work under the supervision of the attending physician faculty member assigned to the </w:t>
      </w:r>
      <w:r w:rsidR="009E794C">
        <w:rPr>
          <w:rFonts w:asciiTheme="majorHAnsi" w:hAnsiTheme="majorHAnsi"/>
          <w:sz w:val="22"/>
          <w:szCs w:val="22"/>
        </w:rPr>
        <w:t>l</w:t>
      </w:r>
      <w:r w:rsidRPr="00E65086">
        <w:rPr>
          <w:rFonts w:asciiTheme="majorHAnsi" w:hAnsiTheme="majorHAnsi"/>
          <w:sz w:val="22"/>
          <w:szCs w:val="22"/>
        </w:rPr>
        <w:t xml:space="preserve">ong-term </w:t>
      </w:r>
      <w:r w:rsidR="009E794C">
        <w:rPr>
          <w:rFonts w:asciiTheme="majorHAnsi" w:hAnsiTheme="majorHAnsi"/>
          <w:sz w:val="22"/>
          <w:szCs w:val="22"/>
        </w:rPr>
        <w:t>care t</w:t>
      </w:r>
      <w:r w:rsidRPr="00E65086">
        <w:rPr>
          <w:rFonts w:asciiTheme="majorHAnsi" w:hAnsiTheme="majorHAnsi"/>
          <w:sz w:val="22"/>
          <w:szCs w:val="22"/>
        </w:rPr>
        <w:t xml:space="preserve">eam who is responsible for teaching the fellows and other medical trainees.  </w:t>
      </w:r>
    </w:p>
    <w:p w:rsidR="009E794C" w:rsidRDefault="009E794C" w:rsidP="00E65086">
      <w:pPr>
        <w:spacing w:before="280" w:after="280" w:line="276" w:lineRule="auto"/>
        <w:rPr>
          <w:rFonts w:asciiTheme="majorHAnsi" w:eastAsia="Times" w:hAnsiTheme="majorHAnsi" w:cs="Times"/>
          <w:b/>
          <w:sz w:val="22"/>
          <w:szCs w:val="22"/>
        </w:rPr>
      </w:pPr>
    </w:p>
    <w:p w:rsidR="00F2333B" w:rsidRPr="00E65086" w:rsidRDefault="00F2333B" w:rsidP="00E65086">
      <w:pPr>
        <w:spacing w:before="280" w:after="280" w:line="276" w:lineRule="auto"/>
        <w:rPr>
          <w:rFonts w:asciiTheme="majorHAnsi" w:hAnsiTheme="majorHAnsi"/>
          <w:sz w:val="22"/>
          <w:szCs w:val="22"/>
        </w:rPr>
      </w:pPr>
      <w:r w:rsidRPr="00E65086">
        <w:rPr>
          <w:rFonts w:asciiTheme="majorHAnsi" w:eastAsia="Times" w:hAnsiTheme="majorHAnsi" w:cs="Times"/>
          <w:b/>
          <w:sz w:val="22"/>
          <w:szCs w:val="22"/>
        </w:rPr>
        <w:t>Specific Goals and Objectives</w:t>
      </w:r>
      <w:r w:rsidRPr="00E65086">
        <w:rPr>
          <w:rFonts w:asciiTheme="majorHAnsi" w:hAnsiTheme="majorHAnsi"/>
          <w:sz w:val="22"/>
          <w:szCs w:val="22"/>
        </w:rPr>
        <w:t xml:space="preserve">: </w:t>
      </w:r>
    </w:p>
    <w:p w:rsidR="00F2333B" w:rsidRPr="00E65086" w:rsidRDefault="00F2333B" w:rsidP="00E65086">
      <w:pPr>
        <w:numPr>
          <w:ilvl w:val="0"/>
          <w:numId w:val="6"/>
        </w:numPr>
        <w:pBdr>
          <w:top w:val="nil"/>
          <w:left w:val="nil"/>
          <w:bottom w:val="nil"/>
          <w:right w:val="nil"/>
          <w:between w:val="nil"/>
        </w:pBdr>
        <w:spacing w:before="280" w:line="276" w:lineRule="auto"/>
        <w:rPr>
          <w:rFonts w:asciiTheme="majorHAnsi" w:hAnsiTheme="majorHAnsi"/>
          <w:color w:val="000000"/>
          <w:sz w:val="22"/>
          <w:szCs w:val="22"/>
        </w:rPr>
      </w:pPr>
      <w:r w:rsidRPr="00E65086">
        <w:rPr>
          <w:rFonts w:asciiTheme="majorHAnsi" w:hAnsiTheme="majorHAnsi"/>
          <w:color w:val="000000"/>
          <w:sz w:val="22"/>
          <w:szCs w:val="22"/>
        </w:rPr>
        <w:t>Develop all skills required to be a competent medical director i</w:t>
      </w:r>
      <w:r w:rsidR="004A485A">
        <w:rPr>
          <w:rFonts w:asciiTheme="majorHAnsi" w:hAnsiTheme="majorHAnsi"/>
          <w:color w:val="000000"/>
          <w:sz w:val="22"/>
          <w:szCs w:val="22"/>
        </w:rPr>
        <w:t xml:space="preserve">n a Medicare-certified hospice. </w:t>
      </w:r>
      <w:r w:rsidRPr="00E65086">
        <w:rPr>
          <w:rFonts w:asciiTheme="majorHAnsi" w:hAnsiTheme="majorHAnsi"/>
          <w:color w:val="000000"/>
          <w:sz w:val="22"/>
          <w:szCs w:val="22"/>
        </w:rPr>
        <w:t>(Competencies: 1.2, 1.3, 2.1, 2.4, 2.5, 5.4, 5.5, 6.1, 6.4)</w:t>
      </w:r>
    </w:p>
    <w:p w:rsidR="00F2333B" w:rsidRPr="00E65086" w:rsidRDefault="00F2333B" w:rsidP="00E65086">
      <w:pPr>
        <w:numPr>
          <w:ilvl w:val="1"/>
          <w:numId w:val="2"/>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Identifying current gaps in end-of-life care</w:t>
      </w:r>
    </w:p>
    <w:p w:rsidR="00F2333B" w:rsidRPr="00E65086" w:rsidRDefault="00F2333B" w:rsidP="00E65086">
      <w:pPr>
        <w:numPr>
          <w:ilvl w:val="1"/>
          <w:numId w:val="2"/>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 xml:space="preserve">Understanding the relationship between “hospice” and “palliative care” </w:t>
      </w:r>
    </w:p>
    <w:p w:rsidR="00F2333B" w:rsidRPr="00E65086" w:rsidRDefault="00F2333B" w:rsidP="00E65086">
      <w:pPr>
        <w:numPr>
          <w:ilvl w:val="1"/>
          <w:numId w:val="2"/>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Understanding the interdisciplinary team</w:t>
      </w:r>
      <w:r w:rsidR="009E794C">
        <w:rPr>
          <w:rFonts w:asciiTheme="majorHAnsi" w:hAnsiTheme="majorHAnsi"/>
          <w:color w:val="000000"/>
          <w:sz w:val="22"/>
          <w:szCs w:val="22"/>
        </w:rPr>
        <w:t xml:space="preserve"> (IDT)</w:t>
      </w:r>
      <w:r w:rsidRPr="00E65086">
        <w:rPr>
          <w:rFonts w:asciiTheme="majorHAnsi" w:hAnsiTheme="majorHAnsi"/>
          <w:color w:val="000000"/>
          <w:sz w:val="22"/>
          <w:szCs w:val="22"/>
        </w:rPr>
        <w:t xml:space="preserve"> model</w:t>
      </w:r>
      <w:r w:rsidRPr="00E65086">
        <w:rPr>
          <w:rFonts w:asciiTheme="majorHAnsi" w:hAnsiTheme="majorHAnsi"/>
          <w:color w:val="000000"/>
          <w:sz w:val="22"/>
          <w:szCs w:val="22"/>
        </w:rPr>
        <w:br/>
        <w:t xml:space="preserve">Understanding the hospice and the Hospice Medicare Benefit </w:t>
      </w:r>
    </w:p>
    <w:p w:rsidR="00F2333B" w:rsidRPr="00E65086" w:rsidRDefault="00F2333B" w:rsidP="00E65086">
      <w:pPr>
        <w:numPr>
          <w:ilvl w:val="1"/>
          <w:numId w:val="2"/>
        </w:numPr>
        <w:pBdr>
          <w:top w:val="nil"/>
          <w:left w:val="nil"/>
          <w:bottom w:val="nil"/>
          <w:right w:val="nil"/>
          <w:between w:val="nil"/>
        </w:pBdr>
        <w:spacing w:after="280" w:line="276" w:lineRule="auto"/>
        <w:rPr>
          <w:rFonts w:asciiTheme="majorHAnsi" w:hAnsiTheme="majorHAnsi"/>
          <w:color w:val="000000"/>
          <w:sz w:val="22"/>
          <w:szCs w:val="22"/>
        </w:rPr>
      </w:pPr>
      <w:r w:rsidRPr="00E65086">
        <w:rPr>
          <w:rFonts w:asciiTheme="majorHAnsi" w:hAnsiTheme="majorHAnsi"/>
          <w:color w:val="000000"/>
          <w:sz w:val="22"/>
          <w:szCs w:val="22"/>
        </w:rPr>
        <w:t xml:space="preserve">Understanding the different levels of </w:t>
      </w:r>
      <w:r w:rsidR="009E794C">
        <w:rPr>
          <w:rFonts w:asciiTheme="majorHAnsi" w:hAnsiTheme="majorHAnsi"/>
          <w:color w:val="000000"/>
          <w:sz w:val="22"/>
          <w:szCs w:val="22"/>
        </w:rPr>
        <w:t>h</w:t>
      </w:r>
      <w:r w:rsidRPr="00E65086">
        <w:rPr>
          <w:rFonts w:asciiTheme="majorHAnsi" w:hAnsiTheme="majorHAnsi"/>
          <w:color w:val="000000"/>
          <w:sz w:val="22"/>
          <w:szCs w:val="22"/>
        </w:rPr>
        <w:t xml:space="preserve">ospice </w:t>
      </w:r>
      <w:r w:rsidR="009E794C">
        <w:rPr>
          <w:rFonts w:asciiTheme="majorHAnsi" w:hAnsiTheme="majorHAnsi"/>
          <w:color w:val="000000"/>
          <w:sz w:val="22"/>
          <w:szCs w:val="22"/>
        </w:rPr>
        <w:t>c</w:t>
      </w:r>
      <w:r w:rsidRPr="00E65086">
        <w:rPr>
          <w:rFonts w:asciiTheme="majorHAnsi" w:hAnsiTheme="majorHAnsi"/>
          <w:color w:val="000000"/>
          <w:sz w:val="22"/>
          <w:szCs w:val="22"/>
        </w:rPr>
        <w:t>are</w:t>
      </w:r>
    </w:p>
    <w:p w:rsidR="00F2333B" w:rsidRPr="00E65086" w:rsidRDefault="00F2333B" w:rsidP="00E65086">
      <w:pPr>
        <w:numPr>
          <w:ilvl w:val="0"/>
          <w:numId w:val="6"/>
        </w:numPr>
        <w:pBdr>
          <w:top w:val="nil"/>
          <w:left w:val="nil"/>
          <w:bottom w:val="nil"/>
          <w:right w:val="nil"/>
          <w:between w:val="nil"/>
        </w:pBdr>
        <w:spacing w:before="280" w:line="276" w:lineRule="auto"/>
        <w:rPr>
          <w:rFonts w:asciiTheme="majorHAnsi" w:hAnsiTheme="majorHAnsi"/>
          <w:color w:val="000000"/>
          <w:sz w:val="22"/>
          <w:szCs w:val="22"/>
        </w:rPr>
      </w:pPr>
      <w:r w:rsidRPr="00E65086">
        <w:rPr>
          <w:rFonts w:asciiTheme="majorHAnsi" w:hAnsiTheme="majorHAnsi"/>
          <w:color w:val="000000"/>
          <w:sz w:val="22"/>
          <w:szCs w:val="22"/>
        </w:rPr>
        <w:t>Learn appropriate clinical skills in the home care setting (Competencies: 1.8, 2.11) including:</w:t>
      </w:r>
    </w:p>
    <w:p w:rsidR="00F2333B" w:rsidRPr="00736C87" w:rsidRDefault="009E794C" w:rsidP="00736C87">
      <w:pPr>
        <w:pStyle w:val="ListParagraph"/>
        <w:numPr>
          <w:ilvl w:val="0"/>
          <w:numId w:val="7"/>
        </w:numPr>
        <w:pBdr>
          <w:top w:val="nil"/>
          <w:left w:val="nil"/>
          <w:bottom w:val="nil"/>
          <w:right w:val="nil"/>
          <w:between w:val="nil"/>
        </w:pBdr>
        <w:spacing w:line="276" w:lineRule="auto"/>
        <w:ind w:left="1440"/>
        <w:rPr>
          <w:rFonts w:asciiTheme="majorHAnsi" w:hAnsiTheme="majorHAnsi"/>
          <w:color w:val="000000"/>
          <w:sz w:val="22"/>
          <w:szCs w:val="22"/>
        </w:rPr>
      </w:pPr>
      <w:r>
        <w:rPr>
          <w:rFonts w:asciiTheme="majorHAnsi" w:hAnsiTheme="majorHAnsi"/>
          <w:color w:val="000000"/>
          <w:sz w:val="22"/>
          <w:szCs w:val="22"/>
        </w:rPr>
        <w:t>Assessment</w:t>
      </w:r>
      <w:r w:rsidR="00F2333B" w:rsidRPr="00736C87">
        <w:rPr>
          <w:rFonts w:asciiTheme="majorHAnsi" w:hAnsiTheme="majorHAnsi"/>
          <w:color w:val="000000"/>
          <w:sz w:val="22"/>
          <w:szCs w:val="22"/>
        </w:rPr>
        <w:t xml:space="preserve"> (Competencies:1.1, 2.6, 2.13, 2.14)</w:t>
      </w:r>
    </w:p>
    <w:p w:rsidR="00F2333B" w:rsidRPr="00E65086" w:rsidRDefault="00F2333B" w:rsidP="00E65086">
      <w:pPr>
        <w:numPr>
          <w:ilvl w:val="0"/>
          <w:numId w:val="3"/>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Assessing goals of care</w:t>
      </w:r>
    </w:p>
    <w:p w:rsidR="00F2333B" w:rsidRPr="00E65086" w:rsidRDefault="00F2333B" w:rsidP="00E65086">
      <w:pPr>
        <w:numPr>
          <w:ilvl w:val="0"/>
          <w:numId w:val="3"/>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 xml:space="preserve">Assessing the patients’ physical, psychological, social and spiritual needs </w:t>
      </w:r>
    </w:p>
    <w:p w:rsidR="00F2333B" w:rsidRPr="00E65086" w:rsidRDefault="00F2333B" w:rsidP="00E65086">
      <w:pPr>
        <w:numPr>
          <w:ilvl w:val="0"/>
          <w:numId w:val="4"/>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Assessing patients’ functional ability</w:t>
      </w:r>
    </w:p>
    <w:p w:rsidR="00F2333B" w:rsidRPr="00E65086" w:rsidRDefault="00F2333B" w:rsidP="00E65086">
      <w:pPr>
        <w:numPr>
          <w:ilvl w:val="0"/>
          <w:numId w:val="4"/>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Assessing medical decision-making capacity</w:t>
      </w:r>
    </w:p>
    <w:p w:rsidR="00F2333B" w:rsidRPr="00E65086" w:rsidRDefault="00F2333B" w:rsidP="00E65086">
      <w:pPr>
        <w:numPr>
          <w:ilvl w:val="0"/>
          <w:numId w:val="4"/>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Assessing and managing pain</w:t>
      </w:r>
    </w:p>
    <w:p w:rsidR="00F2333B" w:rsidRPr="00E65086" w:rsidRDefault="00F2333B" w:rsidP="00E65086">
      <w:pPr>
        <w:numPr>
          <w:ilvl w:val="0"/>
          <w:numId w:val="4"/>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 xml:space="preserve">Assessing and managing non-pain symptoms (e.g., nausea, dyspnea, anxiety) </w:t>
      </w:r>
    </w:p>
    <w:p w:rsidR="00F2333B" w:rsidRPr="00E65086" w:rsidRDefault="00F2333B" w:rsidP="00E65086">
      <w:pPr>
        <w:numPr>
          <w:ilvl w:val="1"/>
          <w:numId w:val="5"/>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Communication  (Competencies:1.7, 4.1, 4.5)</w:t>
      </w:r>
    </w:p>
    <w:p w:rsidR="00F2333B" w:rsidRPr="00E65086" w:rsidRDefault="00F2333B" w:rsidP="00E65086">
      <w:pPr>
        <w:numPr>
          <w:ilvl w:val="1"/>
          <w:numId w:val="5"/>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Decision-making and care planning (Competencies: 2.7, 2.8, 2.9, 2.10)</w:t>
      </w:r>
    </w:p>
    <w:p w:rsidR="00F2333B" w:rsidRPr="00E65086" w:rsidRDefault="00F2333B" w:rsidP="00E65086">
      <w:pPr>
        <w:pBdr>
          <w:top w:val="nil"/>
          <w:left w:val="nil"/>
          <w:bottom w:val="nil"/>
          <w:right w:val="nil"/>
          <w:between w:val="nil"/>
        </w:pBdr>
        <w:spacing w:line="276" w:lineRule="auto"/>
        <w:ind w:left="1440" w:hanging="720"/>
        <w:rPr>
          <w:rFonts w:asciiTheme="majorHAnsi" w:hAnsiTheme="majorHAnsi"/>
          <w:color w:val="000000"/>
          <w:sz w:val="22"/>
          <w:szCs w:val="22"/>
        </w:rPr>
      </w:pPr>
    </w:p>
    <w:p w:rsidR="00F2333B" w:rsidRPr="00E65086" w:rsidRDefault="00F2333B" w:rsidP="00E65086">
      <w:pPr>
        <w:numPr>
          <w:ilvl w:val="0"/>
          <w:numId w:val="6"/>
        </w:numPr>
        <w:pBdr>
          <w:top w:val="nil"/>
          <w:left w:val="nil"/>
          <w:bottom w:val="nil"/>
          <w:right w:val="nil"/>
          <w:between w:val="nil"/>
        </w:pBdr>
        <w:spacing w:after="280" w:line="276" w:lineRule="auto"/>
        <w:rPr>
          <w:rFonts w:asciiTheme="majorHAnsi" w:hAnsiTheme="majorHAnsi"/>
          <w:color w:val="000000"/>
          <w:sz w:val="22"/>
          <w:szCs w:val="22"/>
        </w:rPr>
      </w:pPr>
      <w:r w:rsidRPr="00E65086">
        <w:rPr>
          <w:rFonts w:asciiTheme="majorHAnsi" w:hAnsiTheme="majorHAnsi"/>
          <w:color w:val="000000"/>
          <w:sz w:val="22"/>
          <w:szCs w:val="22"/>
        </w:rPr>
        <w:t>Obtain service delivery skills specific to the home care environment such as adapting to limitations of the home as a setting for care and f</w:t>
      </w:r>
      <w:r w:rsidR="009E794C">
        <w:rPr>
          <w:rFonts w:asciiTheme="majorHAnsi" w:hAnsiTheme="majorHAnsi"/>
          <w:color w:val="000000"/>
          <w:sz w:val="22"/>
          <w:szCs w:val="22"/>
        </w:rPr>
        <w:t>acilitating continuity of care</w:t>
      </w:r>
      <w:r w:rsidR="004A485A">
        <w:rPr>
          <w:rFonts w:asciiTheme="majorHAnsi" w:hAnsiTheme="majorHAnsi"/>
          <w:color w:val="000000"/>
          <w:sz w:val="22"/>
          <w:szCs w:val="22"/>
        </w:rPr>
        <w:t>.</w:t>
      </w:r>
      <w:r w:rsidR="009E794C">
        <w:rPr>
          <w:rFonts w:asciiTheme="majorHAnsi" w:hAnsiTheme="majorHAnsi"/>
          <w:color w:val="000000"/>
          <w:sz w:val="22"/>
          <w:szCs w:val="22"/>
        </w:rPr>
        <w:t xml:space="preserve"> </w:t>
      </w:r>
      <w:r w:rsidRPr="00E65086">
        <w:rPr>
          <w:rFonts w:asciiTheme="majorHAnsi" w:hAnsiTheme="majorHAnsi"/>
          <w:color w:val="000000"/>
          <w:sz w:val="22"/>
          <w:szCs w:val="22"/>
        </w:rPr>
        <w:t>(Competencies: 1.8, 1.13, 6.6)</w:t>
      </w:r>
    </w:p>
    <w:p w:rsidR="00F2333B" w:rsidRPr="00E65086" w:rsidRDefault="00F2333B" w:rsidP="00E65086">
      <w:pPr>
        <w:numPr>
          <w:ilvl w:val="0"/>
          <w:numId w:val="6"/>
        </w:numPr>
        <w:pBdr>
          <w:top w:val="nil"/>
          <w:left w:val="nil"/>
          <w:bottom w:val="nil"/>
          <w:right w:val="nil"/>
          <w:between w:val="nil"/>
        </w:pBdr>
        <w:spacing w:before="280" w:after="280" w:line="276" w:lineRule="auto"/>
        <w:rPr>
          <w:rFonts w:asciiTheme="majorHAnsi" w:hAnsiTheme="majorHAnsi"/>
          <w:color w:val="000000"/>
          <w:sz w:val="22"/>
          <w:szCs w:val="22"/>
        </w:rPr>
      </w:pPr>
      <w:r w:rsidRPr="00E65086">
        <w:rPr>
          <w:rFonts w:asciiTheme="majorHAnsi" w:hAnsiTheme="majorHAnsi"/>
          <w:color w:val="000000"/>
          <w:sz w:val="22"/>
          <w:szCs w:val="22"/>
        </w:rPr>
        <w:t>Assist with transitions of patient care</w:t>
      </w:r>
      <w:r w:rsidR="004A485A">
        <w:rPr>
          <w:rFonts w:asciiTheme="majorHAnsi" w:hAnsiTheme="majorHAnsi"/>
          <w:color w:val="000000"/>
          <w:sz w:val="22"/>
          <w:szCs w:val="22"/>
        </w:rPr>
        <w:t>.</w:t>
      </w:r>
      <w:r w:rsidRPr="00E65086">
        <w:rPr>
          <w:rFonts w:asciiTheme="majorHAnsi" w:hAnsiTheme="majorHAnsi"/>
          <w:color w:val="000000"/>
          <w:sz w:val="22"/>
          <w:szCs w:val="22"/>
        </w:rPr>
        <w:t xml:space="preserve"> (Competencies:1.15, 4.9, 6.3, 6.6)</w:t>
      </w:r>
    </w:p>
    <w:p w:rsidR="00F2333B" w:rsidRPr="00E65086" w:rsidRDefault="00F2333B" w:rsidP="00E65086">
      <w:pPr>
        <w:numPr>
          <w:ilvl w:val="0"/>
          <w:numId w:val="6"/>
        </w:numPr>
        <w:pBdr>
          <w:top w:val="nil"/>
          <w:left w:val="nil"/>
          <w:bottom w:val="nil"/>
          <w:right w:val="nil"/>
          <w:between w:val="nil"/>
        </w:pBdr>
        <w:spacing w:before="280" w:after="280" w:line="276" w:lineRule="auto"/>
        <w:rPr>
          <w:rFonts w:asciiTheme="majorHAnsi" w:hAnsiTheme="majorHAnsi"/>
          <w:color w:val="000000"/>
          <w:sz w:val="22"/>
          <w:szCs w:val="22"/>
        </w:rPr>
      </w:pPr>
      <w:r w:rsidRPr="00E65086">
        <w:rPr>
          <w:rFonts w:asciiTheme="majorHAnsi" w:hAnsiTheme="majorHAnsi"/>
          <w:color w:val="000000"/>
          <w:sz w:val="22"/>
          <w:szCs w:val="22"/>
        </w:rPr>
        <w:t>Care for a panel of homecare patients longitudinally during the fellowship in order to develop a continuity experience</w:t>
      </w:r>
      <w:r w:rsidR="004A485A">
        <w:rPr>
          <w:rFonts w:asciiTheme="majorHAnsi" w:hAnsiTheme="majorHAnsi"/>
          <w:color w:val="000000"/>
          <w:sz w:val="22"/>
          <w:szCs w:val="22"/>
        </w:rPr>
        <w:t>.</w:t>
      </w:r>
      <w:r w:rsidRPr="00E65086">
        <w:rPr>
          <w:rFonts w:asciiTheme="majorHAnsi" w:hAnsiTheme="majorHAnsi"/>
          <w:color w:val="000000"/>
          <w:sz w:val="22"/>
          <w:szCs w:val="22"/>
        </w:rPr>
        <w:t xml:space="preserve"> (Competencies: 1.11, 1.12, 4.9, 5.3)</w:t>
      </w:r>
    </w:p>
    <w:p w:rsidR="00F2333B" w:rsidRPr="00E65086" w:rsidRDefault="00F2333B" w:rsidP="00E65086">
      <w:pPr>
        <w:numPr>
          <w:ilvl w:val="0"/>
          <w:numId w:val="6"/>
        </w:numPr>
        <w:pBdr>
          <w:top w:val="nil"/>
          <w:left w:val="nil"/>
          <w:bottom w:val="nil"/>
          <w:right w:val="nil"/>
          <w:between w:val="nil"/>
        </w:pBdr>
        <w:spacing w:before="280" w:line="276" w:lineRule="auto"/>
        <w:rPr>
          <w:rFonts w:asciiTheme="majorHAnsi" w:hAnsiTheme="majorHAnsi"/>
          <w:color w:val="000000"/>
          <w:sz w:val="22"/>
          <w:szCs w:val="22"/>
        </w:rPr>
      </w:pPr>
      <w:r w:rsidRPr="00E65086">
        <w:rPr>
          <w:rFonts w:asciiTheme="majorHAnsi" w:hAnsiTheme="majorHAnsi"/>
          <w:color w:val="000000"/>
          <w:sz w:val="22"/>
          <w:szCs w:val="22"/>
        </w:rPr>
        <w:t>Know the roles, responsibilities and potential contributions of all members of the team and develop skills at working together as a team on a level playing field</w:t>
      </w:r>
      <w:r w:rsidR="004A485A">
        <w:rPr>
          <w:rFonts w:asciiTheme="majorHAnsi" w:hAnsiTheme="majorHAnsi"/>
          <w:color w:val="000000"/>
          <w:sz w:val="22"/>
          <w:szCs w:val="22"/>
        </w:rPr>
        <w:t>.</w:t>
      </w:r>
      <w:r w:rsidRPr="00E65086">
        <w:rPr>
          <w:rFonts w:asciiTheme="majorHAnsi" w:hAnsiTheme="majorHAnsi"/>
          <w:color w:val="000000"/>
          <w:sz w:val="22"/>
          <w:szCs w:val="22"/>
        </w:rPr>
        <w:t xml:space="preserve"> (Competencies: 2.2, 2.12, 2.13, 2.14, 4.8, 6.7)</w:t>
      </w:r>
    </w:p>
    <w:p w:rsidR="00F2333B" w:rsidRPr="00E65086" w:rsidRDefault="00F2333B" w:rsidP="00E65086">
      <w:pPr>
        <w:pBdr>
          <w:top w:val="nil"/>
          <w:left w:val="nil"/>
          <w:bottom w:val="nil"/>
          <w:right w:val="nil"/>
          <w:between w:val="nil"/>
        </w:pBdr>
        <w:spacing w:line="276" w:lineRule="auto"/>
        <w:ind w:left="720" w:hanging="720"/>
        <w:rPr>
          <w:rFonts w:asciiTheme="majorHAnsi" w:hAnsiTheme="majorHAnsi"/>
          <w:color w:val="000000"/>
          <w:sz w:val="22"/>
          <w:szCs w:val="22"/>
        </w:rPr>
      </w:pPr>
    </w:p>
    <w:p w:rsidR="00F2333B" w:rsidRPr="00E65086" w:rsidRDefault="00F2333B" w:rsidP="00E65086">
      <w:pPr>
        <w:numPr>
          <w:ilvl w:val="0"/>
          <w:numId w:val="6"/>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Develop self-care strategies</w:t>
      </w:r>
      <w:r w:rsidR="004A485A">
        <w:rPr>
          <w:rFonts w:asciiTheme="majorHAnsi" w:hAnsiTheme="majorHAnsi"/>
          <w:color w:val="000000"/>
          <w:sz w:val="22"/>
          <w:szCs w:val="22"/>
        </w:rPr>
        <w:t>.</w:t>
      </w:r>
      <w:r w:rsidRPr="00E65086">
        <w:rPr>
          <w:rFonts w:asciiTheme="majorHAnsi" w:hAnsiTheme="majorHAnsi"/>
          <w:color w:val="000000"/>
          <w:sz w:val="22"/>
          <w:szCs w:val="22"/>
        </w:rPr>
        <w:t xml:space="preserve"> (Competencies: 4.3, 5.1, 3.1, 5.8)</w:t>
      </w:r>
    </w:p>
    <w:p w:rsidR="00F2333B" w:rsidRPr="00E65086" w:rsidRDefault="00F2333B" w:rsidP="00E65086">
      <w:pPr>
        <w:pBdr>
          <w:top w:val="nil"/>
          <w:left w:val="nil"/>
          <w:bottom w:val="nil"/>
          <w:right w:val="nil"/>
          <w:between w:val="nil"/>
        </w:pBdr>
        <w:spacing w:line="276" w:lineRule="auto"/>
        <w:ind w:left="720" w:hanging="720"/>
        <w:rPr>
          <w:rFonts w:asciiTheme="majorHAnsi" w:hAnsiTheme="majorHAnsi"/>
          <w:color w:val="000000"/>
          <w:sz w:val="22"/>
          <w:szCs w:val="22"/>
        </w:rPr>
      </w:pPr>
    </w:p>
    <w:p w:rsidR="00F2333B" w:rsidRPr="00E65086" w:rsidRDefault="00F2333B" w:rsidP="00E65086">
      <w:pPr>
        <w:numPr>
          <w:ilvl w:val="0"/>
          <w:numId w:val="6"/>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Recogniz</w:t>
      </w:r>
      <w:r w:rsidR="009E794C">
        <w:rPr>
          <w:rFonts w:asciiTheme="majorHAnsi" w:hAnsiTheme="majorHAnsi"/>
          <w:color w:val="000000"/>
          <w:sz w:val="22"/>
          <w:szCs w:val="22"/>
        </w:rPr>
        <w:t xml:space="preserve">e normal and pathologic grief. Recognize anticipatory grief. </w:t>
      </w:r>
      <w:r w:rsidRPr="00E65086">
        <w:rPr>
          <w:rFonts w:asciiTheme="majorHAnsi" w:hAnsiTheme="majorHAnsi"/>
          <w:color w:val="000000"/>
          <w:sz w:val="22"/>
          <w:szCs w:val="22"/>
        </w:rPr>
        <w:t>(Competency 2.19)</w:t>
      </w:r>
    </w:p>
    <w:p w:rsidR="00F2333B" w:rsidRPr="00E65086" w:rsidRDefault="00F2333B" w:rsidP="00E65086">
      <w:pPr>
        <w:pBdr>
          <w:top w:val="nil"/>
          <w:left w:val="nil"/>
          <w:bottom w:val="nil"/>
          <w:right w:val="nil"/>
          <w:between w:val="nil"/>
        </w:pBdr>
        <w:spacing w:line="276" w:lineRule="auto"/>
        <w:ind w:left="720" w:hanging="720"/>
        <w:rPr>
          <w:rFonts w:asciiTheme="majorHAnsi" w:hAnsiTheme="majorHAnsi"/>
          <w:color w:val="000000"/>
          <w:sz w:val="22"/>
          <w:szCs w:val="22"/>
        </w:rPr>
      </w:pPr>
    </w:p>
    <w:p w:rsidR="00F2333B" w:rsidRPr="00E65086" w:rsidRDefault="00F2333B" w:rsidP="00E65086">
      <w:pPr>
        <w:numPr>
          <w:ilvl w:val="0"/>
          <w:numId w:val="6"/>
        </w:numPr>
        <w:pBdr>
          <w:top w:val="nil"/>
          <w:left w:val="nil"/>
          <w:bottom w:val="nil"/>
          <w:right w:val="nil"/>
          <w:between w:val="nil"/>
        </w:pBdr>
        <w:spacing w:after="280" w:line="276" w:lineRule="auto"/>
        <w:rPr>
          <w:rFonts w:asciiTheme="majorHAnsi" w:hAnsiTheme="majorHAnsi"/>
          <w:color w:val="000000"/>
          <w:sz w:val="22"/>
          <w:szCs w:val="22"/>
        </w:rPr>
      </w:pPr>
      <w:r w:rsidRPr="00E65086">
        <w:rPr>
          <w:rFonts w:asciiTheme="majorHAnsi" w:hAnsiTheme="majorHAnsi"/>
          <w:color w:val="000000"/>
          <w:sz w:val="22"/>
          <w:szCs w:val="22"/>
        </w:rPr>
        <w:lastRenderedPageBreak/>
        <w:t>Lead patient/family meetings with other IDT members with attention to educating patients and families, goals of care, quality of life, and sharing of prognostic information if needed</w:t>
      </w:r>
      <w:r w:rsidR="004A485A">
        <w:rPr>
          <w:rFonts w:asciiTheme="majorHAnsi" w:hAnsiTheme="majorHAnsi"/>
          <w:color w:val="000000"/>
          <w:sz w:val="22"/>
          <w:szCs w:val="22"/>
        </w:rPr>
        <w:t>.</w:t>
      </w:r>
      <w:r w:rsidRPr="00E65086">
        <w:rPr>
          <w:rFonts w:asciiTheme="majorHAnsi" w:hAnsiTheme="majorHAnsi"/>
          <w:color w:val="000000"/>
          <w:sz w:val="22"/>
          <w:szCs w:val="22"/>
        </w:rPr>
        <w:t xml:space="preserve">  (Competencies: 1.7, 1.12, 2.3, 4.2, 4.4, 4.5, 4.6, 4.7)</w:t>
      </w:r>
    </w:p>
    <w:p w:rsidR="00F2333B" w:rsidRPr="00E65086" w:rsidRDefault="00F2333B" w:rsidP="00E65086">
      <w:pPr>
        <w:numPr>
          <w:ilvl w:val="0"/>
          <w:numId w:val="6"/>
        </w:numPr>
        <w:pBdr>
          <w:top w:val="nil"/>
          <w:left w:val="nil"/>
          <w:bottom w:val="nil"/>
          <w:right w:val="nil"/>
          <w:between w:val="nil"/>
        </w:pBdr>
        <w:spacing w:before="280" w:after="280" w:line="276" w:lineRule="auto"/>
        <w:rPr>
          <w:rFonts w:asciiTheme="majorHAnsi" w:hAnsiTheme="majorHAnsi"/>
          <w:color w:val="000000"/>
          <w:sz w:val="22"/>
          <w:szCs w:val="22"/>
        </w:rPr>
      </w:pPr>
      <w:r w:rsidRPr="00E65086">
        <w:rPr>
          <w:rFonts w:asciiTheme="majorHAnsi" w:hAnsiTheme="majorHAnsi"/>
          <w:color w:val="000000"/>
          <w:sz w:val="22"/>
          <w:szCs w:val="22"/>
        </w:rPr>
        <w:t>Demonstrate knowledge of the process and oppo</w:t>
      </w:r>
      <w:r w:rsidR="009E794C">
        <w:rPr>
          <w:rFonts w:asciiTheme="majorHAnsi" w:hAnsiTheme="majorHAnsi"/>
          <w:color w:val="000000"/>
          <w:sz w:val="22"/>
          <w:szCs w:val="22"/>
        </w:rPr>
        <w:t xml:space="preserve">rtunities for research in HPM. </w:t>
      </w:r>
      <w:r w:rsidRPr="00E65086">
        <w:rPr>
          <w:rFonts w:asciiTheme="majorHAnsi" w:hAnsiTheme="majorHAnsi"/>
          <w:color w:val="000000"/>
          <w:sz w:val="22"/>
          <w:szCs w:val="22"/>
        </w:rPr>
        <w:t>Appropriately refer patients for active research studies. (Competencies 3.4, 5.6)</w:t>
      </w:r>
    </w:p>
    <w:p w:rsidR="00F2333B" w:rsidRPr="00E65086" w:rsidRDefault="00F2333B" w:rsidP="00E65086">
      <w:pPr>
        <w:numPr>
          <w:ilvl w:val="0"/>
          <w:numId w:val="6"/>
        </w:numPr>
        <w:pBdr>
          <w:top w:val="nil"/>
          <w:left w:val="nil"/>
          <w:bottom w:val="nil"/>
          <w:right w:val="nil"/>
          <w:between w:val="nil"/>
        </w:pBdr>
        <w:spacing w:before="280" w:line="276" w:lineRule="auto"/>
        <w:rPr>
          <w:rFonts w:asciiTheme="majorHAnsi" w:hAnsiTheme="majorHAnsi"/>
          <w:color w:val="000000"/>
          <w:sz w:val="22"/>
          <w:szCs w:val="22"/>
        </w:rPr>
      </w:pPr>
      <w:r w:rsidRPr="00E65086">
        <w:rPr>
          <w:rFonts w:asciiTheme="majorHAnsi" w:hAnsiTheme="majorHAnsi"/>
          <w:color w:val="000000"/>
          <w:sz w:val="22"/>
          <w:szCs w:val="22"/>
        </w:rPr>
        <w:t>Know all</w:t>
      </w:r>
      <w:r w:rsidR="009E794C">
        <w:rPr>
          <w:rFonts w:asciiTheme="majorHAnsi" w:hAnsiTheme="majorHAnsi"/>
          <w:color w:val="000000"/>
          <w:sz w:val="22"/>
          <w:szCs w:val="22"/>
        </w:rPr>
        <w:t xml:space="preserve"> aspects of mandated reporting</w:t>
      </w:r>
      <w:r w:rsidR="004A485A">
        <w:rPr>
          <w:rFonts w:asciiTheme="majorHAnsi" w:hAnsiTheme="majorHAnsi"/>
          <w:color w:val="000000"/>
          <w:sz w:val="22"/>
          <w:szCs w:val="22"/>
        </w:rPr>
        <w:t>.</w:t>
      </w:r>
      <w:r w:rsidR="009E794C">
        <w:rPr>
          <w:rFonts w:asciiTheme="majorHAnsi" w:hAnsiTheme="majorHAnsi"/>
          <w:color w:val="000000"/>
          <w:sz w:val="22"/>
          <w:szCs w:val="22"/>
        </w:rPr>
        <w:t xml:space="preserve"> </w:t>
      </w:r>
      <w:r w:rsidRPr="00E65086">
        <w:rPr>
          <w:rFonts w:asciiTheme="majorHAnsi" w:hAnsiTheme="majorHAnsi"/>
          <w:color w:val="000000"/>
          <w:sz w:val="22"/>
          <w:szCs w:val="22"/>
        </w:rPr>
        <w:t>(Competencies: 2.21, 5.6)</w:t>
      </w:r>
    </w:p>
    <w:p w:rsidR="00F2333B" w:rsidRPr="00E65086" w:rsidRDefault="00F2333B" w:rsidP="00E65086">
      <w:pPr>
        <w:pBdr>
          <w:top w:val="nil"/>
          <w:left w:val="nil"/>
          <w:bottom w:val="nil"/>
          <w:right w:val="nil"/>
          <w:between w:val="nil"/>
        </w:pBdr>
        <w:spacing w:line="276" w:lineRule="auto"/>
        <w:ind w:left="720" w:hanging="720"/>
        <w:rPr>
          <w:rFonts w:asciiTheme="majorHAnsi" w:hAnsiTheme="majorHAnsi"/>
          <w:color w:val="000000"/>
          <w:sz w:val="22"/>
          <w:szCs w:val="22"/>
        </w:rPr>
      </w:pPr>
    </w:p>
    <w:p w:rsidR="00F2333B" w:rsidRPr="00E65086" w:rsidRDefault="00F2333B" w:rsidP="00E65086">
      <w:pPr>
        <w:numPr>
          <w:ilvl w:val="0"/>
          <w:numId w:val="6"/>
        </w:numPr>
        <w:pBdr>
          <w:top w:val="nil"/>
          <w:left w:val="nil"/>
          <w:bottom w:val="nil"/>
          <w:right w:val="nil"/>
          <w:between w:val="nil"/>
        </w:pBdr>
        <w:spacing w:after="280" w:line="276" w:lineRule="auto"/>
        <w:rPr>
          <w:rFonts w:asciiTheme="majorHAnsi" w:hAnsiTheme="majorHAnsi"/>
          <w:color w:val="000000"/>
          <w:sz w:val="22"/>
          <w:szCs w:val="22"/>
        </w:rPr>
      </w:pPr>
      <w:r w:rsidRPr="00E65086">
        <w:rPr>
          <w:rFonts w:asciiTheme="majorHAnsi" w:hAnsiTheme="majorHAnsi"/>
          <w:color w:val="000000"/>
          <w:sz w:val="22"/>
          <w:szCs w:val="22"/>
        </w:rPr>
        <w:t>Learn techniques to develop business within the community</w:t>
      </w:r>
      <w:r w:rsidR="004A485A">
        <w:rPr>
          <w:rFonts w:asciiTheme="majorHAnsi" w:hAnsiTheme="majorHAnsi"/>
          <w:color w:val="000000"/>
          <w:sz w:val="22"/>
          <w:szCs w:val="22"/>
        </w:rPr>
        <w:t>.</w:t>
      </w:r>
    </w:p>
    <w:p w:rsidR="00F2333B" w:rsidRPr="00E65086" w:rsidRDefault="00F2333B" w:rsidP="00E65086">
      <w:pPr>
        <w:numPr>
          <w:ilvl w:val="0"/>
          <w:numId w:val="6"/>
        </w:numPr>
        <w:pBdr>
          <w:top w:val="nil"/>
          <w:left w:val="nil"/>
          <w:bottom w:val="nil"/>
          <w:right w:val="nil"/>
          <w:between w:val="nil"/>
        </w:pBdr>
        <w:spacing w:before="120" w:line="276" w:lineRule="auto"/>
        <w:rPr>
          <w:rFonts w:asciiTheme="majorHAnsi" w:hAnsiTheme="majorHAnsi"/>
          <w:color w:val="000000"/>
          <w:sz w:val="22"/>
          <w:szCs w:val="22"/>
        </w:rPr>
      </w:pPr>
      <w:r w:rsidRPr="00E65086">
        <w:rPr>
          <w:rFonts w:asciiTheme="majorHAnsi" w:hAnsiTheme="majorHAnsi"/>
          <w:color w:val="000000"/>
          <w:sz w:val="22"/>
          <w:szCs w:val="22"/>
        </w:rPr>
        <w:t xml:space="preserve">Perform geriatric assessments relevant to end-of-life care such as MMSE, CAM clock and three item recall, (I)ADL’s, GDS, Braden pressure sore risk, fall risk, FAST dementia assessment, </w:t>
      </w:r>
      <w:proofErr w:type="spellStart"/>
      <w:r w:rsidRPr="00E65086">
        <w:rPr>
          <w:rFonts w:asciiTheme="majorHAnsi" w:hAnsiTheme="majorHAnsi"/>
          <w:color w:val="000000"/>
          <w:sz w:val="22"/>
          <w:szCs w:val="22"/>
        </w:rPr>
        <w:t>Karnofsky</w:t>
      </w:r>
      <w:proofErr w:type="spellEnd"/>
      <w:r w:rsidRPr="00E65086">
        <w:rPr>
          <w:rFonts w:asciiTheme="majorHAnsi" w:hAnsiTheme="majorHAnsi"/>
          <w:color w:val="000000"/>
          <w:sz w:val="22"/>
          <w:szCs w:val="22"/>
        </w:rPr>
        <w:t>, ECOG and NYHA CHF classification</w:t>
      </w:r>
      <w:r w:rsidR="004A485A">
        <w:rPr>
          <w:rFonts w:asciiTheme="majorHAnsi" w:hAnsiTheme="majorHAnsi"/>
          <w:color w:val="000000"/>
          <w:sz w:val="22"/>
          <w:szCs w:val="22"/>
        </w:rPr>
        <w:t>.</w:t>
      </w:r>
      <w:r w:rsidRPr="00E65086">
        <w:rPr>
          <w:rFonts w:asciiTheme="majorHAnsi" w:hAnsiTheme="majorHAnsi"/>
          <w:color w:val="000000"/>
          <w:sz w:val="22"/>
          <w:szCs w:val="22"/>
        </w:rPr>
        <w:t xml:space="preserve"> (Competencies: 1.1, 1.11)</w:t>
      </w:r>
    </w:p>
    <w:p w:rsidR="00F2333B" w:rsidRPr="00E65086" w:rsidRDefault="00F2333B" w:rsidP="00E65086">
      <w:pPr>
        <w:pBdr>
          <w:top w:val="nil"/>
          <w:left w:val="nil"/>
          <w:bottom w:val="nil"/>
          <w:right w:val="nil"/>
          <w:between w:val="nil"/>
        </w:pBdr>
        <w:spacing w:line="276" w:lineRule="auto"/>
        <w:ind w:left="720" w:hanging="720"/>
        <w:rPr>
          <w:rFonts w:asciiTheme="majorHAnsi" w:hAnsiTheme="majorHAnsi"/>
          <w:color w:val="000000"/>
          <w:sz w:val="22"/>
          <w:szCs w:val="22"/>
        </w:rPr>
      </w:pPr>
    </w:p>
    <w:p w:rsidR="00F2333B" w:rsidRPr="00E65086" w:rsidRDefault="00F2333B" w:rsidP="00E65086">
      <w:pPr>
        <w:numPr>
          <w:ilvl w:val="0"/>
          <w:numId w:val="6"/>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Manage geriatric syndromes and diseases that are common in a hospice and palliative medicine patient population such as frailty, neuropsychiatric disorders, dementia, depression, delirium, falls, pressure ulcers, incontinence, pain, UTI and urinary retention, constipation, Parkinson’s disease and stroke</w:t>
      </w:r>
      <w:r w:rsidR="004A485A">
        <w:rPr>
          <w:rFonts w:asciiTheme="majorHAnsi" w:hAnsiTheme="majorHAnsi"/>
          <w:color w:val="000000"/>
          <w:sz w:val="22"/>
          <w:szCs w:val="22"/>
        </w:rPr>
        <w:t>.</w:t>
      </w:r>
      <w:r w:rsidRPr="00E65086">
        <w:rPr>
          <w:rFonts w:asciiTheme="majorHAnsi" w:hAnsiTheme="majorHAnsi"/>
          <w:color w:val="000000"/>
          <w:sz w:val="22"/>
          <w:szCs w:val="22"/>
        </w:rPr>
        <w:t xml:space="preserve"> (Competencies: 1.12, 2.11, 2.20, 6.1)</w:t>
      </w:r>
    </w:p>
    <w:p w:rsidR="00F2333B" w:rsidRPr="00E65086" w:rsidRDefault="00F2333B" w:rsidP="00E65086">
      <w:pPr>
        <w:pBdr>
          <w:top w:val="nil"/>
          <w:left w:val="nil"/>
          <w:bottom w:val="nil"/>
          <w:right w:val="nil"/>
          <w:between w:val="nil"/>
        </w:pBdr>
        <w:spacing w:line="276" w:lineRule="auto"/>
        <w:ind w:left="720" w:hanging="720"/>
        <w:rPr>
          <w:rFonts w:asciiTheme="majorHAnsi" w:hAnsiTheme="majorHAnsi"/>
          <w:color w:val="000000"/>
          <w:sz w:val="22"/>
          <w:szCs w:val="22"/>
        </w:rPr>
      </w:pPr>
    </w:p>
    <w:p w:rsidR="00F2333B" w:rsidRPr="00E65086" w:rsidRDefault="00F2333B" w:rsidP="00E65086">
      <w:pPr>
        <w:numPr>
          <w:ilvl w:val="0"/>
          <w:numId w:val="6"/>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Practice effective and meaningful primary and consultative hospice and palliative care in the long term setting. (Competencies: 1.8, 1.15, 2.6, 2.7, 2.8, 2.9, 3.2, 4.5, 4.9, 5.3, 6.6)</w:t>
      </w:r>
    </w:p>
    <w:p w:rsidR="00F2333B" w:rsidRPr="00E65086" w:rsidRDefault="00F2333B" w:rsidP="00E65086">
      <w:pPr>
        <w:pBdr>
          <w:top w:val="nil"/>
          <w:left w:val="nil"/>
          <w:bottom w:val="nil"/>
          <w:right w:val="nil"/>
          <w:between w:val="nil"/>
        </w:pBdr>
        <w:spacing w:line="276" w:lineRule="auto"/>
        <w:ind w:left="720" w:hanging="720"/>
        <w:rPr>
          <w:rFonts w:asciiTheme="majorHAnsi" w:hAnsiTheme="majorHAnsi"/>
          <w:color w:val="000000"/>
          <w:sz w:val="22"/>
          <w:szCs w:val="22"/>
        </w:rPr>
      </w:pPr>
    </w:p>
    <w:p w:rsidR="00F2333B" w:rsidRPr="00E65086" w:rsidRDefault="00F2333B" w:rsidP="00E65086">
      <w:pPr>
        <w:numPr>
          <w:ilvl w:val="0"/>
          <w:numId w:val="6"/>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Acquire the necessary knowledge of skilled nursing facility regulations that affect physician practice. (Competencies: 1.8, 1.15, 3.2, 6.3, 6.4, 6.5)</w:t>
      </w:r>
    </w:p>
    <w:p w:rsidR="00F2333B" w:rsidRPr="00E65086" w:rsidRDefault="00F2333B" w:rsidP="00E65086">
      <w:pPr>
        <w:pBdr>
          <w:top w:val="nil"/>
          <w:left w:val="nil"/>
          <w:bottom w:val="nil"/>
          <w:right w:val="nil"/>
          <w:between w:val="nil"/>
        </w:pBdr>
        <w:spacing w:line="276" w:lineRule="auto"/>
        <w:ind w:left="720" w:hanging="720"/>
        <w:rPr>
          <w:rFonts w:asciiTheme="majorHAnsi" w:hAnsiTheme="majorHAnsi"/>
          <w:color w:val="000000"/>
          <w:sz w:val="22"/>
          <w:szCs w:val="22"/>
        </w:rPr>
      </w:pPr>
    </w:p>
    <w:p w:rsidR="00F2333B" w:rsidRPr="00E65086" w:rsidRDefault="00F2333B" w:rsidP="00E65086">
      <w:pPr>
        <w:numPr>
          <w:ilvl w:val="0"/>
          <w:numId w:val="6"/>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Participate in interdisciplinary team work focusing on older adults (IDG and PCC).  (Competencies: 1.3, 1.7, 2.2, 2.16, 4.7, 4.8, 5.5)</w:t>
      </w:r>
    </w:p>
    <w:p w:rsidR="00F2333B" w:rsidRPr="00E65086" w:rsidRDefault="00F2333B" w:rsidP="00E65086">
      <w:pPr>
        <w:pBdr>
          <w:top w:val="nil"/>
          <w:left w:val="nil"/>
          <w:bottom w:val="nil"/>
          <w:right w:val="nil"/>
          <w:between w:val="nil"/>
        </w:pBdr>
        <w:spacing w:line="276" w:lineRule="auto"/>
        <w:ind w:left="720" w:hanging="720"/>
        <w:rPr>
          <w:rFonts w:asciiTheme="majorHAnsi" w:hAnsiTheme="majorHAnsi"/>
          <w:color w:val="000000"/>
          <w:sz w:val="22"/>
          <w:szCs w:val="22"/>
        </w:rPr>
      </w:pPr>
    </w:p>
    <w:p w:rsidR="00F2333B" w:rsidRPr="00E65086" w:rsidRDefault="00F2333B" w:rsidP="00E65086">
      <w:pPr>
        <w:numPr>
          <w:ilvl w:val="0"/>
          <w:numId w:val="6"/>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Develop prescribing patterns</w:t>
      </w:r>
      <w:r w:rsidR="009E794C">
        <w:rPr>
          <w:rFonts w:asciiTheme="majorHAnsi" w:hAnsiTheme="majorHAnsi"/>
          <w:color w:val="000000"/>
          <w:sz w:val="22"/>
          <w:szCs w:val="22"/>
        </w:rPr>
        <w:t xml:space="preserve"> appropriate for older adults. </w:t>
      </w:r>
      <w:r w:rsidRPr="00E65086">
        <w:rPr>
          <w:rFonts w:asciiTheme="majorHAnsi" w:hAnsiTheme="majorHAnsi"/>
          <w:color w:val="000000"/>
          <w:sz w:val="22"/>
          <w:szCs w:val="22"/>
        </w:rPr>
        <w:t>(Competencies: 2.9, 3.5)</w:t>
      </w:r>
    </w:p>
    <w:p w:rsidR="00F2333B" w:rsidRPr="00E65086" w:rsidRDefault="00F2333B" w:rsidP="00E65086">
      <w:pPr>
        <w:pBdr>
          <w:top w:val="nil"/>
          <w:left w:val="nil"/>
          <w:bottom w:val="nil"/>
          <w:right w:val="nil"/>
          <w:between w:val="nil"/>
        </w:pBdr>
        <w:spacing w:line="276" w:lineRule="auto"/>
        <w:ind w:left="720" w:hanging="720"/>
        <w:rPr>
          <w:rFonts w:asciiTheme="majorHAnsi" w:hAnsiTheme="majorHAnsi"/>
          <w:color w:val="000000"/>
          <w:sz w:val="22"/>
          <w:szCs w:val="22"/>
        </w:rPr>
      </w:pPr>
    </w:p>
    <w:p w:rsidR="00F2333B" w:rsidRPr="00E65086" w:rsidRDefault="00F2333B" w:rsidP="00E65086">
      <w:pPr>
        <w:numPr>
          <w:ilvl w:val="0"/>
          <w:numId w:val="6"/>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Recognize common social issues in the geriatric population. (Competency 2.13)</w:t>
      </w:r>
    </w:p>
    <w:p w:rsidR="00F2333B" w:rsidRPr="00E65086" w:rsidRDefault="00F2333B" w:rsidP="00E65086">
      <w:pPr>
        <w:pBdr>
          <w:top w:val="nil"/>
          <w:left w:val="nil"/>
          <w:bottom w:val="nil"/>
          <w:right w:val="nil"/>
          <w:between w:val="nil"/>
        </w:pBdr>
        <w:spacing w:line="276" w:lineRule="auto"/>
        <w:ind w:left="720" w:hanging="720"/>
        <w:rPr>
          <w:rFonts w:asciiTheme="majorHAnsi" w:hAnsiTheme="majorHAnsi"/>
          <w:color w:val="000000"/>
          <w:sz w:val="22"/>
          <w:szCs w:val="22"/>
        </w:rPr>
      </w:pPr>
    </w:p>
    <w:p w:rsidR="00F2333B" w:rsidRPr="00E65086" w:rsidRDefault="00F2333B" w:rsidP="00E65086">
      <w:pPr>
        <w:numPr>
          <w:ilvl w:val="0"/>
          <w:numId w:val="6"/>
        </w:numPr>
        <w:pBdr>
          <w:top w:val="nil"/>
          <w:left w:val="nil"/>
          <w:bottom w:val="nil"/>
          <w:right w:val="nil"/>
          <w:between w:val="nil"/>
        </w:pBdr>
        <w:spacing w:line="276" w:lineRule="auto"/>
        <w:rPr>
          <w:rFonts w:asciiTheme="majorHAnsi" w:hAnsiTheme="majorHAnsi"/>
          <w:color w:val="000000"/>
          <w:sz w:val="22"/>
          <w:szCs w:val="22"/>
        </w:rPr>
      </w:pPr>
      <w:r w:rsidRPr="00E65086">
        <w:rPr>
          <w:rFonts w:asciiTheme="majorHAnsi" w:hAnsiTheme="majorHAnsi"/>
          <w:color w:val="000000"/>
          <w:sz w:val="22"/>
          <w:szCs w:val="22"/>
        </w:rPr>
        <w:t>Evaluate elderly patients for hospice services. Provide education to patients and families about medical, social, and psychological issues associated with life-limiting illness. (Competencies: 1.13, 1.15, 4.4, 4.5)</w:t>
      </w:r>
    </w:p>
    <w:p w:rsidR="00F2333B" w:rsidRPr="00E65086" w:rsidRDefault="00F2333B" w:rsidP="00E65086">
      <w:pPr>
        <w:pBdr>
          <w:top w:val="nil"/>
          <w:left w:val="nil"/>
          <w:bottom w:val="nil"/>
          <w:right w:val="nil"/>
          <w:between w:val="nil"/>
        </w:pBdr>
        <w:spacing w:line="276" w:lineRule="auto"/>
        <w:ind w:left="720" w:hanging="720"/>
        <w:rPr>
          <w:rFonts w:asciiTheme="majorHAnsi" w:hAnsiTheme="majorHAnsi"/>
          <w:color w:val="000000"/>
          <w:sz w:val="22"/>
          <w:szCs w:val="22"/>
        </w:rPr>
      </w:pPr>
    </w:p>
    <w:p w:rsidR="00F2333B" w:rsidRPr="00E65086" w:rsidRDefault="00F2333B" w:rsidP="00E65086">
      <w:pPr>
        <w:numPr>
          <w:ilvl w:val="0"/>
          <w:numId w:val="6"/>
        </w:numPr>
        <w:pBdr>
          <w:top w:val="nil"/>
          <w:left w:val="nil"/>
          <w:bottom w:val="nil"/>
          <w:right w:val="nil"/>
          <w:between w:val="nil"/>
        </w:pBdr>
        <w:tabs>
          <w:tab w:val="left" w:pos="1886"/>
        </w:tabs>
        <w:spacing w:line="276" w:lineRule="auto"/>
        <w:rPr>
          <w:rFonts w:asciiTheme="majorHAnsi" w:hAnsiTheme="majorHAnsi"/>
          <w:color w:val="000000"/>
          <w:sz w:val="22"/>
          <w:szCs w:val="22"/>
        </w:rPr>
      </w:pPr>
      <w:r w:rsidRPr="00E65086">
        <w:rPr>
          <w:rFonts w:asciiTheme="majorHAnsi" w:hAnsiTheme="majorHAnsi"/>
          <w:color w:val="000000"/>
          <w:sz w:val="22"/>
          <w:szCs w:val="22"/>
        </w:rPr>
        <w:t>Assess and m</w:t>
      </w:r>
      <w:r w:rsidR="009E794C">
        <w:rPr>
          <w:rFonts w:asciiTheme="majorHAnsi" w:hAnsiTheme="majorHAnsi"/>
          <w:color w:val="000000"/>
          <w:sz w:val="22"/>
          <w:szCs w:val="22"/>
        </w:rPr>
        <w:t xml:space="preserve">anage elder abuse and neglect. </w:t>
      </w:r>
      <w:r w:rsidRPr="00E65086">
        <w:rPr>
          <w:rFonts w:asciiTheme="majorHAnsi" w:hAnsiTheme="majorHAnsi"/>
          <w:color w:val="000000"/>
          <w:sz w:val="22"/>
          <w:szCs w:val="22"/>
        </w:rPr>
        <w:t>Demonstrate knowledge of ethics and law a</w:t>
      </w:r>
      <w:r w:rsidR="009E794C">
        <w:rPr>
          <w:rFonts w:asciiTheme="majorHAnsi" w:hAnsiTheme="majorHAnsi"/>
          <w:color w:val="000000"/>
          <w:sz w:val="22"/>
          <w:szCs w:val="22"/>
        </w:rPr>
        <w:t xml:space="preserve">round withdrawal of therapies. </w:t>
      </w:r>
      <w:r w:rsidRPr="00E65086">
        <w:rPr>
          <w:rFonts w:asciiTheme="majorHAnsi" w:hAnsiTheme="majorHAnsi"/>
          <w:color w:val="000000"/>
          <w:sz w:val="22"/>
          <w:szCs w:val="22"/>
        </w:rPr>
        <w:t>(Competencies: 2.21, 3.5, 5.6)</w:t>
      </w:r>
      <w:bookmarkStart w:id="0" w:name="_GoBack"/>
      <w:bookmarkEnd w:id="0"/>
    </w:p>
    <w:p w:rsidR="00FB3896" w:rsidRPr="00E65086" w:rsidRDefault="00FB3896" w:rsidP="00E65086">
      <w:pPr>
        <w:spacing w:line="276" w:lineRule="auto"/>
        <w:rPr>
          <w:rFonts w:asciiTheme="majorHAnsi" w:eastAsia="Arial" w:hAnsiTheme="majorHAnsi" w:cs="Arial"/>
          <w:sz w:val="22"/>
          <w:szCs w:val="22"/>
        </w:rPr>
      </w:pPr>
    </w:p>
    <w:sectPr w:rsidR="00FB3896" w:rsidRPr="00E65086" w:rsidSect="005B2B8C">
      <w:foot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86" w:rsidRDefault="00AD64A0">
      <w:r>
        <w:separator/>
      </w:r>
    </w:p>
  </w:endnote>
  <w:endnote w:type="continuationSeparator" w:id="0">
    <w:p w:rsidR="00DA7186" w:rsidRDefault="00AD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96" w:rsidRDefault="00FB3896">
    <w:pPr>
      <w:widowControl w:val="0"/>
      <w:pBdr>
        <w:top w:val="nil"/>
        <w:left w:val="nil"/>
        <w:bottom w:val="nil"/>
        <w:right w:val="nil"/>
        <w:between w:val="nil"/>
      </w:pBdr>
      <w:spacing w:line="276" w:lineRule="auto"/>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86" w:rsidRDefault="00AD64A0">
      <w:r>
        <w:separator/>
      </w:r>
    </w:p>
  </w:footnote>
  <w:footnote w:type="continuationSeparator" w:id="0">
    <w:p w:rsidR="00DA7186" w:rsidRDefault="00AD6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862"/>
    <w:multiLevelType w:val="multilevel"/>
    <w:tmpl w:val="F5D0D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CD14AA"/>
    <w:multiLevelType w:val="hybridMultilevel"/>
    <w:tmpl w:val="0516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02594F"/>
    <w:multiLevelType w:val="multilevel"/>
    <w:tmpl w:val="04266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285CD2"/>
    <w:multiLevelType w:val="multilevel"/>
    <w:tmpl w:val="C6DEEB0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F229E1"/>
    <w:multiLevelType w:val="multilevel"/>
    <w:tmpl w:val="8C2013A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6FDB6945"/>
    <w:multiLevelType w:val="multilevel"/>
    <w:tmpl w:val="7AB25D40"/>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7EE6038E"/>
    <w:multiLevelType w:val="multilevel"/>
    <w:tmpl w:val="0BAE5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96"/>
    <w:rsid w:val="000D45D9"/>
    <w:rsid w:val="0014038C"/>
    <w:rsid w:val="001F65FD"/>
    <w:rsid w:val="002E0222"/>
    <w:rsid w:val="004A485A"/>
    <w:rsid w:val="005B2B8C"/>
    <w:rsid w:val="00716E61"/>
    <w:rsid w:val="00736C87"/>
    <w:rsid w:val="00793249"/>
    <w:rsid w:val="009C7607"/>
    <w:rsid w:val="009E794C"/>
    <w:rsid w:val="00AD64A0"/>
    <w:rsid w:val="00DA7186"/>
    <w:rsid w:val="00E65086"/>
    <w:rsid w:val="00F2333B"/>
    <w:rsid w:val="00FB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763B5-4F5E-4433-B756-50B789F1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5B2B8C"/>
    <w:pPr>
      <w:keepNext/>
      <w:keepLines/>
      <w:spacing w:before="480" w:after="120"/>
      <w:outlineLvl w:val="0"/>
    </w:pPr>
    <w:rPr>
      <w:rFonts w:ascii="Cambria" w:hAnsi="Cambria"/>
      <w:b/>
      <w:color w:val="D78825"/>
      <w:sz w:val="32"/>
      <w:szCs w:val="48"/>
    </w:rPr>
  </w:style>
  <w:style w:type="paragraph" w:styleId="Heading2">
    <w:name w:val="heading 2"/>
    <w:basedOn w:val="Normal"/>
    <w:next w:val="Normal"/>
    <w:link w:val="Heading2Char"/>
    <w:qFormat/>
    <w:rsid w:val="005B2B8C"/>
    <w:pPr>
      <w:keepNext/>
      <w:keepLines/>
      <w:spacing w:before="360" w:after="80"/>
      <w:outlineLvl w:val="1"/>
    </w:pPr>
    <w:rPr>
      <w:rFonts w:ascii="Cambria" w:hAnsi="Cambria"/>
      <w:b/>
      <w:color w:val="9E2A2B"/>
      <w:sz w:val="28"/>
      <w:szCs w:val="36"/>
    </w:rPr>
  </w:style>
  <w:style w:type="paragraph" w:styleId="Heading3">
    <w:name w:val="heading 3"/>
    <w:basedOn w:val="Normal"/>
    <w:next w:val="Normal"/>
    <w:link w:val="Heading3Char"/>
    <w:rsid w:val="00AD64A0"/>
    <w:pPr>
      <w:keepNext/>
      <w:keepLines/>
      <w:spacing w:before="280" w:after="80"/>
      <w:outlineLvl w:val="2"/>
    </w:pPr>
    <w:rPr>
      <w:rFonts w:ascii="Cambria" w:hAnsi="Cambria"/>
      <w:b/>
      <w:color w:val="D78825"/>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paragraph" w:styleId="Header">
    <w:name w:val="header"/>
    <w:basedOn w:val="Normal"/>
    <w:link w:val="HeaderChar"/>
    <w:uiPriority w:val="99"/>
    <w:unhideWhenUsed/>
    <w:rsid w:val="005B2B8C"/>
    <w:pPr>
      <w:tabs>
        <w:tab w:val="center" w:pos="4680"/>
        <w:tab w:val="right" w:pos="9360"/>
      </w:tabs>
    </w:pPr>
  </w:style>
  <w:style w:type="character" w:customStyle="1" w:styleId="HeaderChar">
    <w:name w:val="Header Char"/>
    <w:basedOn w:val="DefaultParagraphFont"/>
    <w:link w:val="Header"/>
    <w:uiPriority w:val="99"/>
    <w:rsid w:val="005B2B8C"/>
  </w:style>
  <w:style w:type="paragraph" w:styleId="Footer">
    <w:name w:val="footer"/>
    <w:basedOn w:val="Normal"/>
    <w:link w:val="FooterChar"/>
    <w:uiPriority w:val="99"/>
    <w:unhideWhenUsed/>
    <w:rsid w:val="005B2B8C"/>
    <w:pPr>
      <w:tabs>
        <w:tab w:val="center" w:pos="4680"/>
        <w:tab w:val="right" w:pos="9360"/>
      </w:tabs>
    </w:pPr>
  </w:style>
  <w:style w:type="character" w:customStyle="1" w:styleId="FooterChar">
    <w:name w:val="Footer Char"/>
    <w:basedOn w:val="DefaultParagraphFont"/>
    <w:link w:val="Footer"/>
    <w:uiPriority w:val="99"/>
    <w:rsid w:val="005B2B8C"/>
  </w:style>
  <w:style w:type="character" w:customStyle="1" w:styleId="Heading1Char">
    <w:name w:val="Heading 1 Char"/>
    <w:basedOn w:val="DefaultParagraphFont"/>
    <w:link w:val="Heading1"/>
    <w:rsid w:val="005B2B8C"/>
    <w:rPr>
      <w:rFonts w:ascii="Cambria" w:hAnsi="Cambria"/>
      <w:b/>
      <w:color w:val="D78825"/>
      <w:sz w:val="32"/>
      <w:szCs w:val="48"/>
    </w:rPr>
  </w:style>
  <w:style w:type="character" w:customStyle="1" w:styleId="Heading2Char">
    <w:name w:val="Heading 2 Char"/>
    <w:basedOn w:val="DefaultParagraphFont"/>
    <w:link w:val="Heading2"/>
    <w:rsid w:val="005B2B8C"/>
    <w:rPr>
      <w:rFonts w:ascii="Cambria" w:hAnsi="Cambria"/>
      <w:b/>
      <w:color w:val="9E2A2B"/>
      <w:sz w:val="28"/>
      <w:szCs w:val="36"/>
    </w:rPr>
  </w:style>
  <w:style w:type="paragraph" w:styleId="ListParagraph">
    <w:name w:val="List Paragraph"/>
    <w:basedOn w:val="Normal"/>
    <w:uiPriority w:val="34"/>
    <w:qFormat/>
    <w:rsid w:val="00736C87"/>
    <w:pPr>
      <w:ind w:left="720"/>
      <w:contextualSpacing/>
    </w:pPr>
  </w:style>
  <w:style w:type="character" w:customStyle="1" w:styleId="Heading3Char">
    <w:name w:val="Heading 3 Char"/>
    <w:basedOn w:val="DefaultParagraphFont"/>
    <w:link w:val="Heading3"/>
    <w:rsid w:val="00AD64A0"/>
    <w:rPr>
      <w:rFonts w:ascii="Cambria" w:hAnsi="Cambria"/>
      <w:b/>
      <w:color w:val="D7882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Levreau</dc:creator>
  <cp:lastModifiedBy>Dawn Levreau</cp:lastModifiedBy>
  <cp:revision>8</cp:revision>
  <dcterms:created xsi:type="dcterms:W3CDTF">2018-12-18T17:24:00Z</dcterms:created>
  <dcterms:modified xsi:type="dcterms:W3CDTF">2019-01-07T18:53:00Z</dcterms:modified>
</cp:coreProperties>
</file>